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76" w:after="0"/>
        <w:ind w:firstLine="720" w:left="720"/>
        <w:jc w:val="center"/>
        <w:rPr>
          <w:b/>
          <w:i/>
          <w:i/>
          <w:sz w:val="24"/>
        </w:rPr>
      </w:pPr>
      <w:r>
        <w:drawing>
          <wp:anchor behindDoc="1" distT="0" distB="0" distL="0" distR="0" simplePos="0" locked="0" layoutInCell="1" allowOverlap="1" relativeHeight="2">
            <wp:simplePos x="0" y="0"/>
            <wp:positionH relativeFrom="column">
              <wp:posOffset>0</wp:posOffset>
            </wp:positionH>
            <wp:positionV relativeFrom="paragraph">
              <wp:posOffset>-240030</wp:posOffset>
            </wp:positionV>
            <wp:extent cx="961390" cy="1574800"/>
            <wp:effectExtent l="0" t="0" r="0" b="0"/>
            <wp:wrapNone/>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38975" t="11651" r="39209" b="10360"/>
                    <a:stretch>
                      <a:fillRect/>
                    </a:stretch>
                  </pic:blipFill>
                  <pic:spPr bwMode="auto">
                    <a:xfrm>
                      <a:off x="0" y="0"/>
                      <a:ext cx="961390" cy="1574800"/>
                    </a:xfrm>
                    <a:prstGeom prst="rect">
                      <a:avLst/>
                    </a:prstGeom>
                    <a:noFill/>
                  </pic:spPr>
                </pic:pic>
              </a:graphicData>
            </a:graphic>
          </wp:anchor>
        </w:drawing>
      </w:r>
      <w:r>
        <w:rPr>
          <w:b/>
          <w:i/>
          <w:color w:val="2E5395"/>
          <w:sz w:val="24"/>
        </w:rPr>
        <w:t>Межрегиональная</w:t>
      </w:r>
      <w:r>
        <w:rPr>
          <w:b/>
          <w:i/>
          <w:color w:val="2E5395"/>
          <w:spacing w:val="-8"/>
          <w:sz w:val="24"/>
        </w:rPr>
        <w:t xml:space="preserve"> </w:t>
      </w:r>
      <w:r>
        <w:rPr>
          <w:b/>
          <w:i/>
          <w:color w:val="2E5395"/>
          <w:sz w:val="24"/>
        </w:rPr>
        <w:t>общественная</w:t>
      </w:r>
      <w:r>
        <w:rPr>
          <w:b/>
          <w:i/>
          <w:color w:val="2E5395"/>
          <w:spacing w:val="-7"/>
          <w:sz w:val="24"/>
        </w:rPr>
        <w:t xml:space="preserve"> </w:t>
      </w:r>
      <w:r>
        <w:rPr>
          <w:b/>
          <w:i/>
          <w:color w:val="2E5395"/>
          <w:spacing w:val="-2"/>
          <w:sz w:val="24"/>
        </w:rPr>
        <w:t>организация</w:t>
      </w:r>
    </w:p>
    <w:p>
      <w:pPr>
        <w:pStyle w:val="Title"/>
        <w:ind w:firstLine="720" w:left="720"/>
        <w:rPr/>
      </w:pPr>
      <w:r>
        <w:rPr>
          <w:color w:val="2E5395"/>
        </w:rPr>
        <w:t>РУССКАЯ</w:t>
      </w:r>
      <w:r>
        <w:rPr>
          <w:color w:val="2E5395"/>
          <w:spacing w:val="-8"/>
        </w:rPr>
        <w:t xml:space="preserve"> </w:t>
      </w:r>
      <w:r>
        <w:rPr>
          <w:color w:val="2E5395"/>
        </w:rPr>
        <w:t>АССОЦИАЦИЯ</w:t>
      </w:r>
      <w:r>
        <w:rPr>
          <w:color w:val="2E5395"/>
          <w:spacing w:val="-6"/>
        </w:rPr>
        <w:t xml:space="preserve"> </w:t>
      </w:r>
      <w:r>
        <w:rPr>
          <w:color w:val="2E5395"/>
          <w:spacing w:val="-2"/>
        </w:rPr>
        <w:t>ЧТЕНИЯ</w:t>
      </w:r>
    </w:p>
    <w:p>
      <w:pPr>
        <w:pStyle w:val="BodyText"/>
        <w:spacing w:before="36" w:after="0"/>
        <w:ind w:left="0"/>
        <w:rPr>
          <w:rFonts w:ascii="Cambria" w:hAnsi="Cambria"/>
          <w:sz w:val="20"/>
        </w:rPr>
      </w:pPr>
      <w:r>
        <w:rPr>
          <w:rFonts w:ascii="Cambria" w:hAnsi="Cambria"/>
          <w:sz w:val="20"/>
        </w:rPr>
        <mc:AlternateContent>
          <mc:Choice Requires="wps">
            <w:drawing>
              <wp:anchor behindDoc="0" distT="0" distB="0" distL="114300" distR="118745" simplePos="0" locked="0" layoutInCell="0" allowOverlap="1" relativeHeight="3" wp14:anchorId="3DDB845C">
                <wp:simplePos x="0" y="0"/>
                <wp:positionH relativeFrom="page">
                  <wp:posOffset>1789430</wp:posOffset>
                </wp:positionH>
                <wp:positionV relativeFrom="paragraph">
                  <wp:posOffset>187325</wp:posOffset>
                </wp:positionV>
                <wp:extent cx="5340350" cy="5080"/>
                <wp:effectExtent l="0" t="0" r="0" b="0"/>
                <wp:wrapTopAndBottom/>
                <wp:docPr id="2" name="Graphic 2"/>
                <a:graphic xmlns:a="http://schemas.openxmlformats.org/drawingml/2006/main">
                  <a:graphicData uri="http://schemas.microsoft.com/office/word/2010/wordprocessingShape">
                    <wps:wsp>
                      <wps:cNvSpPr/>
                      <wps:spPr>
                        <a:xfrm>
                          <a:off x="0" y="0"/>
                          <a:ext cx="5340240" cy="5040"/>
                        </a:xfrm>
                        <a:custGeom>
                          <a:avLst/>
                          <a:gdLst>
                            <a:gd name="textAreaLeft" fmla="*/ 0 w 3027600"/>
                            <a:gd name="textAreaRight" fmla="*/ 3030480 w 3027600"/>
                            <a:gd name="textAreaTop" fmla="*/ 0 h 2880"/>
                            <a:gd name="textAreaBottom" fmla="*/ 5760 h 2880"/>
                            <a:gd name="GluePoint1X" fmla="*/ 14836 w 14837"/>
                            <a:gd name="GluePoint1Y" fmla="*/ 0 h 18"/>
                            <a:gd name="GluePoint2X" fmla="*/ 0 w 14837"/>
                            <a:gd name="GluePoint2Y" fmla="*/ 0 h 18"/>
                            <a:gd name="GluePoint3X" fmla="*/ 0 w 14837"/>
                            <a:gd name="GluePoint3Y" fmla="*/ 17 h 18"/>
                            <a:gd name="GluePoint4X" fmla="*/ 14836 w 14837"/>
                            <a:gd name="GluePoint4Y" fmla="*/ 17 h 18"/>
                            <a:gd name="GluePoint5X" fmla="*/ 14836 w 14837"/>
                            <a:gd name="GluePoint5Y" fmla="*/ 0 h 18"/>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4837" h="18">
                              <a:moveTo>
                                <a:pt x="14836" y="0"/>
                              </a:moveTo>
                              <a:lnTo>
                                <a:pt x="0" y="0"/>
                              </a:lnTo>
                              <a:lnTo>
                                <a:pt x="0" y="17"/>
                              </a:lnTo>
                              <a:lnTo>
                                <a:pt x="14836" y="17"/>
                              </a:lnTo>
                              <a:lnTo>
                                <a:pt x="14836" y="0"/>
                              </a:lnTo>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7374" w:leader="none"/>
        </w:tabs>
        <w:jc w:val="center"/>
        <w:rPr>
          <w:sz w:val="24"/>
        </w:rPr>
      </w:pPr>
      <w:r>
        <w:rPr>
          <w:sz w:val="24"/>
        </w:rPr>
      </w:r>
    </w:p>
    <w:p>
      <w:pPr>
        <w:pStyle w:val="BodyText"/>
        <w:spacing w:before="1" w:after="0"/>
        <w:ind w:left="4320"/>
        <w:jc w:val="both"/>
        <w:rPr>
          <w:sz w:val="26"/>
        </w:rPr>
      </w:pPr>
      <w:r>
        <w:rPr>
          <w:sz w:val="26"/>
          <w:szCs w:val="26"/>
        </w:rPr>
        <w:t>Уважаемые</w:t>
      </w:r>
      <w:r>
        <w:rPr>
          <w:spacing w:val="-11"/>
          <w:sz w:val="26"/>
          <w:szCs w:val="26"/>
        </w:rPr>
        <w:t xml:space="preserve"> </w:t>
      </w:r>
      <w:r>
        <w:rPr>
          <w:spacing w:val="-2"/>
          <w:sz w:val="26"/>
          <w:szCs w:val="26"/>
        </w:rPr>
        <w:t>коллеги!</w:t>
      </w:r>
    </w:p>
    <w:p>
      <w:pPr>
        <w:pStyle w:val="Normal"/>
        <w:spacing w:before="200" w:after="0"/>
        <w:jc w:val="both"/>
        <w:rPr>
          <w:sz w:val="26"/>
          <w:szCs w:val="26"/>
        </w:rPr>
      </w:pPr>
      <w:r>
        <w:rPr>
          <w:bCs/>
          <w:sz w:val="26"/>
          <w:szCs w:val="26"/>
        </w:rPr>
        <w:t>2026 год является юбилейным для Межрегиональной общественной организации «Русская ассоциация чтения» (МОО РАЧ), учреждённой в 1996 году.</w:t>
      </w:r>
    </w:p>
    <w:p>
      <w:pPr>
        <w:pStyle w:val="Normal"/>
        <w:spacing w:before="200" w:after="0"/>
        <w:jc w:val="both"/>
        <w:rPr>
          <w:sz w:val="26"/>
          <w:szCs w:val="26"/>
        </w:rPr>
      </w:pPr>
      <w:r>
        <w:rPr>
          <w:bCs/>
          <w:sz w:val="26"/>
          <w:szCs w:val="26"/>
        </w:rPr>
        <w:t xml:space="preserve">Приглашаем вас принять участие в </w:t>
      </w:r>
      <w:r>
        <w:rPr>
          <w:b/>
          <w:bCs/>
          <w:smallCaps/>
          <w:sz w:val="26"/>
          <w:szCs w:val="26"/>
          <w:lang w:val="en-US"/>
        </w:rPr>
        <w:t>IX</w:t>
      </w:r>
      <w:r>
        <w:rPr>
          <w:b/>
          <w:bCs/>
          <w:smallCaps/>
          <w:sz w:val="26"/>
          <w:szCs w:val="26"/>
        </w:rPr>
        <w:t xml:space="preserve"> Юбилейной научно-практической конференции </w:t>
      </w:r>
      <w:r>
        <w:rPr>
          <w:b/>
          <w:smallCaps/>
          <w:sz w:val="26"/>
          <w:szCs w:val="26"/>
        </w:rPr>
        <w:t xml:space="preserve">«Чтение и грамотность в образовании и культуре: чтение в мире и миры чтения» </w:t>
      </w:r>
      <w:r>
        <w:rPr>
          <w:b/>
          <w:bCs/>
          <w:smallCaps/>
          <w:sz w:val="26"/>
          <w:szCs w:val="26"/>
        </w:rPr>
        <w:t>(с международным участием)</w:t>
      </w:r>
      <w:r>
        <w:rPr>
          <w:smallCaps/>
          <w:sz w:val="26"/>
          <w:szCs w:val="26"/>
        </w:rPr>
        <w:t>.</w:t>
      </w:r>
    </w:p>
    <w:p>
      <w:pPr>
        <w:pStyle w:val="Normal"/>
        <w:spacing w:before="200" w:after="0"/>
        <w:jc w:val="both"/>
        <w:rPr>
          <w:sz w:val="26"/>
          <w:szCs w:val="26"/>
        </w:rPr>
      </w:pPr>
      <w:r>
        <w:rPr>
          <w:sz w:val="26"/>
          <w:szCs w:val="26"/>
        </w:rPr>
        <w:t xml:space="preserve">Конференция проводится </w:t>
      </w:r>
      <w:r>
        <w:rPr>
          <w:b/>
          <w:sz w:val="26"/>
          <w:szCs w:val="26"/>
        </w:rPr>
        <w:t xml:space="preserve">15–16 октября 2026 </w:t>
      </w:r>
      <w:r>
        <w:rPr>
          <w:b/>
          <w:bCs/>
          <w:sz w:val="26"/>
          <w:szCs w:val="26"/>
        </w:rPr>
        <w:t>года в Москве</w:t>
      </w:r>
      <w:r>
        <w:rPr>
          <w:sz w:val="26"/>
          <w:szCs w:val="26"/>
        </w:rPr>
        <w:t>.</w:t>
      </w:r>
    </w:p>
    <w:p>
      <w:pPr>
        <w:pStyle w:val="Normal"/>
        <w:spacing w:before="200" w:after="0"/>
        <w:jc w:val="both"/>
        <w:rPr>
          <w:sz w:val="26"/>
          <w:szCs w:val="26"/>
        </w:rPr>
      </w:pPr>
      <w:r>
        <w:rPr>
          <w:b w:val="false"/>
          <w:bCs w:val="false"/>
          <w:i w:val="false"/>
          <w:iCs w:val="false"/>
          <w:sz w:val="26"/>
          <w:szCs w:val="26"/>
        </w:rPr>
        <w:t>В первый день в здании Союза писателей России по адресу Комсомольский пр-т, д. 13 состоятся пленарное заседание и торжественная церемония в честь 30-летия РАЧ, во второй день в Государственной публичной исторической библиотеке России по адресу Старосадский пер., д.9, стр.1. пройдут четыре секционных заседания</w:t>
      </w:r>
      <w:r>
        <w:rPr>
          <w:rStyle w:val="Emphasis"/>
          <w:b w:val="false"/>
          <w:bCs w:val="false"/>
          <w:i w:val="false"/>
          <w:iCs w:val="false"/>
          <w:sz w:val="26"/>
          <w:szCs w:val="26"/>
        </w:rPr>
        <w:t xml:space="preserve"> </w:t>
      </w:r>
      <w:r>
        <w:rPr>
          <w:rStyle w:val="Emphasis"/>
          <w:b w:val="false"/>
          <w:bCs w:val="false"/>
          <w:sz w:val="26"/>
          <w:szCs w:val="26"/>
        </w:rPr>
        <w:t>в формате последовательных круглых столов (симпозиумов).</w:t>
      </w:r>
    </w:p>
    <w:p>
      <w:pPr>
        <w:pStyle w:val="Normal"/>
        <w:spacing w:before="113" w:after="0"/>
        <w:jc w:val="both"/>
        <w:rPr>
          <w:sz w:val="26"/>
          <w:szCs w:val="26"/>
        </w:rPr>
      </w:pPr>
      <w:r>
        <w:rPr>
          <w:sz w:val="26"/>
          <w:szCs w:val="26"/>
        </w:rPr>
        <w:t>Тематика секций:</w:t>
      </w:r>
    </w:p>
    <w:p>
      <w:pPr>
        <w:pStyle w:val="ListParagraph"/>
        <w:numPr>
          <w:ilvl w:val="0"/>
          <w:numId w:val="1"/>
        </w:numPr>
        <w:jc w:val="both"/>
        <w:rPr>
          <w:sz w:val="26"/>
          <w:szCs w:val="26"/>
        </w:rPr>
      </w:pPr>
      <w:r>
        <w:rPr>
          <w:sz w:val="26"/>
          <w:szCs w:val="26"/>
        </w:rPr>
        <w:t>Миры чтения в современном мире (чтение детей и взрослых, книги разных народов, на разных языках, др.).</w:t>
      </w:r>
    </w:p>
    <w:p>
      <w:pPr>
        <w:pStyle w:val="ListParagraph"/>
        <w:numPr>
          <w:ilvl w:val="0"/>
          <w:numId w:val="1"/>
        </w:numPr>
        <w:jc w:val="both"/>
        <w:rPr>
          <w:sz w:val="26"/>
          <w:szCs w:val="26"/>
        </w:rPr>
      </w:pPr>
      <w:r>
        <w:rPr>
          <w:b w:val="false"/>
          <w:bCs w:val="false"/>
          <w:sz w:val="26"/>
          <w:szCs w:val="26"/>
        </w:rPr>
        <w:t>Чтение человека и искусственного интеллекта: теория и практика. Медиаграмотность.</w:t>
      </w:r>
    </w:p>
    <w:p>
      <w:pPr>
        <w:pStyle w:val="ListParagraph"/>
        <w:numPr>
          <w:ilvl w:val="0"/>
          <w:numId w:val="1"/>
        </w:numPr>
        <w:jc w:val="both"/>
        <w:rPr>
          <w:sz w:val="26"/>
          <w:szCs w:val="26"/>
        </w:rPr>
      </w:pPr>
      <w:r>
        <w:rPr>
          <w:b w:val="false"/>
          <w:bCs w:val="false"/>
          <w:sz w:val="26"/>
          <w:szCs w:val="26"/>
        </w:rPr>
        <w:t>Методы, формы, средства, условия, стратегии и практики продвижения чтения, разнообразие языков и культур в России и мире.</w:t>
      </w:r>
    </w:p>
    <w:p>
      <w:pPr>
        <w:pStyle w:val="ListParagraph"/>
        <w:numPr>
          <w:ilvl w:val="0"/>
          <w:numId w:val="1"/>
        </w:numPr>
        <w:jc w:val="both"/>
        <w:rPr>
          <w:sz w:val="26"/>
          <w:szCs w:val="26"/>
        </w:rPr>
      </w:pPr>
      <w:r>
        <w:rPr>
          <w:b w:val="false"/>
          <w:bCs w:val="false"/>
          <w:sz w:val="26"/>
          <w:szCs w:val="26"/>
        </w:rPr>
        <w:t>Вклад отечественных учёных в теорию и практику обучения и воспитания. Круглый стол к 95-летию со дня рождения И. А. Зимней «Язык, речь и речевая деятельность в работах И. А. Зимней: теория и практика».</w:t>
      </w:r>
    </w:p>
    <w:p>
      <w:pPr>
        <w:pStyle w:val="Normal"/>
        <w:jc w:val="both"/>
        <w:rPr>
          <w:sz w:val="26"/>
          <w:szCs w:val="26"/>
        </w:rPr>
      </w:pPr>
      <w:r>
        <w:rPr>
          <w:sz w:val="26"/>
          <w:szCs w:val="26"/>
        </w:rPr>
      </w:r>
    </w:p>
    <w:p>
      <w:pPr>
        <w:pStyle w:val="Normal"/>
        <w:jc w:val="both"/>
        <w:rPr>
          <w:sz w:val="26"/>
          <w:szCs w:val="26"/>
        </w:rPr>
      </w:pPr>
      <w:r>
        <w:rPr>
          <w:sz w:val="26"/>
          <w:szCs w:val="26"/>
        </w:rPr>
        <w:t>Формат участия докладчиков – очный, слушателей – очный и онлайн.</w:t>
      </w:r>
    </w:p>
    <w:p>
      <w:pPr>
        <w:pStyle w:val="Normal"/>
        <w:jc w:val="both"/>
        <w:rPr>
          <w:sz w:val="26"/>
          <w:szCs w:val="26"/>
        </w:rPr>
      </w:pPr>
      <w:r>
        <w:rPr>
          <w:sz w:val="26"/>
          <w:szCs w:val="26"/>
        </w:rPr>
        <w:t xml:space="preserve">Регистрация с докладами – </w:t>
      </w:r>
      <w:r>
        <w:rPr>
          <w:b/>
          <w:bCs/>
          <w:sz w:val="26"/>
          <w:szCs w:val="26"/>
        </w:rPr>
        <w:t>до 15 сентября 2026 года</w:t>
      </w:r>
      <w:r>
        <w:rPr>
          <w:sz w:val="26"/>
          <w:szCs w:val="26"/>
        </w:rPr>
        <w:t xml:space="preserve">. Регистрация слушателей – </w:t>
      </w:r>
      <w:r>
        <w:rPr>
          <w:b/>
          <w:bCs/>
          <w:sz w:val="26"/>
          <w:szCs w:val="26"/>
        </w:rPr>
        <w:t>до 30 сентября 2026 года</w:t>
      </w:r>
      <w:r>
        <w:rPr>
          <w:sz w:val="26"/>
          <w:szCs w:val="26"/>
        </w:rPr>
        <w:t>.</w:t>
      </w:r>
    </w:p>
    <w:p>
      <w:pPr>
        <w:pStyle w:val="Normal"/>
        <w:jc w:val="both"/>
        <w:rPr/>
      </w:pPr>
      <w:r>
        <w:rPr>
          <w:sz w:val="26"/>
          <w:szCs w:val="26"/>
        </w:rPr>
        <w:t xml:space="preserve">Регистрация проводится на сайте Ассоциации </w:t>
      </w:r>
      <w:hyperlink r:id="rId3">
        <w:r>
          <w:rPr>
            <w:rStyle w:val="Hyperlink"/>
            <w:sz w:val="26"/>
            <w:szCs w:val="26"/>
          </w:rPr>
          <w:t>http://rusreadorg.ru</w:t>
        </w:r>
      </w:hyperlink>
      <w:r>
        <w:rPr>
          <w:sz w:val="26"/>
          <w:szCs w:val="26"/>
        </w:rPr>
        <w:t>. Подача тезисов докладов осуществляется в личном кабинете.</w:t>
      </w:r>
    </w:p>
    <w:p>
      <w:pPr>
        <w:pStyle w:val="Normal"/>
        <w:spacing w:before="200" w:after="0"/>
        <w:jc w:val="both"/>
        <w:rPr/>
      </w:pPr>
      <w:r>
        <w:rPr>
          <w:sz w:val="26"/>
          <w:szCs w:val="26"/>
        </w:rPr>
        <w:t>На Конференции будет презентован очередной выпуск сборника научных статей «Человек читающий. Homo Legens – 18».</w:t>
      </w:r>
    </w:p>
    <w:p>
      <w:pPr>
        <w:pStyle w:val="Normal"/>
        <w:spacing w:before="200" w:after="0"/>
        <w:jc w:val="both"/>
        <w:rPr>
          <w:sz w:val="26"/>
          <w:szCs w:val="26"/>
        </w:rPr>
      </w:pPr>
      <w:r>
        <w:rPr>
          <w:sz w:val="26"/>
          <w:szCs w:val="26"/>
        </w:rPr>
        <w:t xml:space="preserve">Сборник включается в пакет участников Конференции, являющихся членами Ассоциации, при условии оплаты индивидуального ежегодного членского взноса. Авторские экземпляры сборника выдаются по тем же основаниям. Участникам, не являющимся членами Ассоциации, предоставляется возможность оплатить пакет участника в личном кабинете (раздел «Членский взнос»). </w:t>
      </w:r>
    </w:p>
    <w:p>
      <w:pPr>
        <w:pStyle w:val="Normal"/>
        <w:spacing w:before="200" w:after="0"/>
        <w:jc w:val="both"/>
        <w:rPr>
          <w:sz w:val="26"/>
          <w:szCs w:val="26"/>
        </w:rPr>
      </w:pPr>
      <w:r>
        <w:rPr>
          <w:sz w:val="26"/>
          <w:szCs w:val="26"/>
        </w:rPr>
        <w:t>Участие в Конференции бесплатное, командировочные расходы за счет направляющей стороны.</w:t>
      </w:r>
    </w:p>
    <w:p>
      <w:pPr>
        <w:pStyle w:val="Normal"/>
        <w:spacing w:before="200" w:after="0"/>
        <w:jc w:val="both"/>
        <w:rPr>
          <w:sz w:val="28"/>
          <w:szCs w:val="28"/>
        </w:rPr>
      </w:pPr>
      <w:r>
        <w:rPr>
          <w:sz w:val="26"/>
          <w:szCs w:val="26"/>
        </w:rPr>
        <w:t xml:space="preserve">Для оформления именного приглашения необходимо направить запрос на электронную почту </w:t>
      </w:r>
      <w:hyperlink r:id="rId4">
        <w:r>
          <w:rPr>
            <w:rStyle w:val="Hyperlink"/>
            <w:sz w:val="26"/>
            <w:szCs w:val="26"/>
            <w:u w:val="single"/>
          </w:rPr>
          <w:t>secretary@rusreadorg.ru</w:t>
        </w:r>
      </w:hyperlink>
      <w:r>
        <w:rPr>
          <w:sz w:val="26"/>
          <w:szCs w:val="26"/>
        </w:rPr>
        <w:t xml:space="preserve"> с указанием должности, полного ФИО и электронной почты адресата письма (руководителя), должности и полного ФИО участника Конференции, темы доклада (при наличии).</w:t>
      </w:r>
    </w:p>
    <w:p>
      <w:pPr>
        <w:pStyle w:val="Normal"/>
        <w:spacing w:before="234" w:after="0"/>
        <w:jc w:val="right"/>
        <w:rPr/>
      </w:pPr>
      <w:r>
        <w:rPr>
          <w:sz w:val="24"/>
          <w:szCs w:val="24"/>
        </w:rPr>
        <w:t>Программный</w:t>
      </w:r>
      <w:r>
        <w:rPr>
          <w:spacing w:val="-10"/>
          <w:sz w:val="24"/>
          <w:szCs w:val="24"/>
        </w:rPr>
        <w:t xml:space="preserve"> </w:t>
      </w:r>
      <w:r>
        <w:rPr>
          <w:sz w:val="24"/>
          <w:szCs w:val="24"/>
        </w:rPr>
        <w:t>комитет</w:t>
      </w:r>
      <w:r>
        <w:rPr>
          <w:spacing w:val="-7"/>
          <w:sz w:val="24"/>
          <w:szCs w:val="24"/>
        </w:rPr>
        <w:t xml:space="preserve"> </w:t>
      </w:r>
      <w:r>
        <w:rPr>
          <w:sz w:val="24"/>
          <w:szCs w:val="24"/>
        </w:rPr>
        <w:t>Русской</w:t>
      </w:r>
      <w:r>
        <w:rPr>
          <w:spacing w:val="-8"/>
          <w:sz w:val="24"/>
          <w:szCs w:val="24"/>
        </w:rPr>
        <w:t xml:space="preserve"> </w:t>
      </w:r>
      <w:r>
        <w:rPr>
          <w:sz w:val="24"/>
          <w:szCs w:val="24"/>
        </w:rPr>
        <w:t>ассоциации</w:t>
      </w:r>
      <w:r>
        <w:rPr>
          <w:spacing w:val="-7"/>
          <w:sz w:val="24"/>
          <w:szCs w:val="24"/>
        </w:rPr>
        <w:t xml:space="preserve"> </w:t>
      </w:r>
      <w:r>
        <w:rPr>
          <w:sz w:val="24"/>
          <w:szCs w:val="24"/>
        </w:rPr>
        <w:t>чтения</w:t>
      </w:r>
      <w:r>
        <w:rPr>
          <w:color w:val="000000"/>
          <w:sz w:val="24"/>
          <w:szCs w:val="24"/>
        </w:rPr>
        <w:t xml:space="preserve"> </w:t>
      </w:r>
      <w:hyperlink r:id="rId5">
        <w:r>
          <w:rPr>
            <w:rStyle w:val="Hyperlink"/>
            <w:sz w:val="24"/>
            <w:szCs w:val="24"/>
          </w:rPr>
          <w:t>secretary@rusreadorg.ru</w:t>
        </w:r>
      </w:hyperlink>
      <w:r>
        <w:rPr>
          <w:sz w:val="24"/>
          <w:szCs w:val="24"/>
        </w:rPr>
        <w:t xml:space="preserve"> </w:t>
      </w:r>
    </w:p>
    <w:sectPr>
      <w:type w:val="nextPage"/>
      <w:pgSz w:w="11906" w:h="16838"/>
      <w:pgMar w:left="600" w:right="556" w:gutter="0" w:header="0" w:top="720" w:footer="0" w:bottom="280"/>
      <w:pgNumType w:fmt="decimal"/>
      <w:formProt w:val="false"/>
      <w:textDirection w:val="lrTb"/>
      <w:docGrid w:type="default" w:linePitch="10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 w:name="Cambria">
    <w:charset w:val="cc"/>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UnresolvedMention">
    <w:name w:val="Unresolved Mention"/>
    <w:basedOn w:val="DefaultParagraphFont"/>
    <w:uiPriority w:val="99"/>
    <w:semiHidden/>
    <w:unhideWhenUsed/>
    <w:qFormat/>
    <w:rsid w:val="002e6e93"/>
    <w:rPr>
      <w:color w:val="605E5C"/>
      <w:shd w:fill="E1DFDD" w:val="clear"/>
    </w:rPr>
  </w:style>
  <w:style w:type="character" w:styleId="FollowedHyperlink">
    <w:name w:val="FollowedHyperlink"/>
    <w:rPr>
      <w:color w:val="800000"/>
      <w:u w:val="single"/>
    </w:rPr>
  </w:style>
  <w:style w:type="character" w:styleId="Emphasis">
    <w:name w:val="Emphasis"/>
    <w:qFormat/>
    <w:rPr>
      <w:i/>
      <w:iCs/>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spacing w:before="200" w:after="0"/>
      <w:ind w:left="140"/>
    </w:pPr>
    <w:rPr>
      <w:sz w:val="26"/>
      <w:szCs w:val="26"/>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Title">
    <w:name w:val="Title"/>
    <w:basedOn w:val="Normal"/>
    <w:next w:val="BodyText"/>
    <w:uiPriority w:val="10"/>
    <w:qFormat/>
    <w:pPr>
      <w:spacing w:before="2" w:after="0"/>
      <w:ind w:left="1713"/>
      <w:jc w:val="center"/>
    </w:pPr>
    <w:rPr>
      <w:rFonts w:ascii="Cambria" w:hAnsi="Cambria" w:eastAsia="Cambria" w:cs="Cambria"/>
      <w:sz w:val="52"/>
      <w:szCs w:val="52"/>
    </w:rPr>
  </w:style>
  <w:style w:type="paragraph" w:styleId="IndexHeading">
    <w:name w:val="index heading"/>
    <w:basedOn w:val="Normal"/>
    <w:qFormat/>
    <w:pPr>
      <w:suppressLineNumbers/>
    </w:pPr>
    <w:rPr>
      <w:rFonts w:cs="Arial"/>
    </w:rPr>
  </w:style>
  <w:style w:type="paragraph" w:styleId="ListParagraph">
    <w:name w:val="List Paragraph"/>
    <w:basedOn w:val="Normal"/>
    <w:uiPriority w:val="1"/>
    <w:qFormat/>
    <w:pPr>
      <w:ind w:hanging="193" w:left="140"/>
    </w:pPr>
    <w:rPr/>
  </w:style>
  <w:style w:type="paragraph" w:styleId="TableParagraph" w:customStyle="1">
    <w:name w:val="Table Paragraph"/>
    <w:basedOn w:val="Normal"/>
    <w:uiPriority w:val="1"/>
    <w:qFormat/>
    <w:pPr>
      <w:spacing w:lineRule="exact" w:line="298"/>
      <w:ind w:left="107" w:right="107"/>
    </w:pPr>
    <w:rPr/>
  </w:style>
  <w:style w:type="numbering" w:styleId="user2" w:customStyle="1">
    <w:name w:val="Без списка (user)"/>
    <w:uiPriority w:val="99"/>
    <w:semiHidden/>
    <w:unhideWhenUsed/>
    <w:qFormat/>
  </w:style>
  <w:style w:type="numbering" w:styleId="Style16"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rusreadorg.ru/" TargetMode="External"/><Relationship Id="rId4" Type="http://schemas.openxmlformats.org/officeDocument/2006/relationships/hyperlink" Target="mailto:secretary@rusreadorg.ru" TargetMode="External"/><Relationship Id="rId5" Type="http://schemas.openxmlformats.org/officeDocument/2006/relationships/hyperlink" Target="mailto:secretary@rusreadorg.ru"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212</TotalTime>
  <Application>LibreOffice/25.2.3.2$Windows_X86_64 LibreOffice_project/bbb074479178df812d175f709636b368952c2ce3</Application>
  <AppVersion>15.0000</AppVersion>
  <Pages>1</Pages>
  <Words>327</Words>
  <Characters>2217</Characters>
  <CharactersWithSpaces>2526</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2026-04-18T03:20:00Z</dcterms:created>
  <dc:creator>nataly.smetannikova@yandex.ru</dc:creator>
  <dc:description/>
  <dc:language>ru-RU</dc:language>
  <cp:lastModifiedBy/>
  <cp:lastPrinted>2026-05-25T14:36:13Z</cp:lastPrinted>
  <dcterms:modified xsi:type="dcterms:W3CDTF">2026-09-14T13:41:13Z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2025-07-19T00:00:00Z</vt:filetime>
  </property>
  <property fmtid="{D5CDD505-2E9C-101B-9397-08002B2CF9AE}" pid="3" name="Creator">
    <vt:lpwstr>Microsoft® Word для Microsoft 365</vt:lpwstr>
  </property>
  <property fmtid="{D5CDD505-2E9C-101B-9397-08002B2CF9AE}" pid="4" name="LastSaved">
    <vt:filetime>2026-01-26T00:00:00Z</vt:filetime>
  </property>
  <property fmtid="{D5CDD505-2E9C-101B-9397-08002B2CF9AE}" pid="5" name="Producer">
    <vt:lpwstr>Microsoft® Word для Microsoft 365</vt:lpwstr>
  </property>
</Properties>
</file>